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13ED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Aetna </w:t>
      </w:r>
    </w:p>
    <w:p w14:paraId="5FE8186D" w14:textId="4163BE5D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Allianz, Better Health, CCC Plus, Global Benefits, International, Leap and Medicare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ab/>
        <w:t xml:space="preserve">Advantage, Coventry </w:t>
      </w:r>
    </w:p>
    <w:p w14:paraId="65FE09AD" w14:textId="743DED4C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FEHBP Aetna Open Access, Aetna Medicare UVA Prime </w:t>
      </w:r>
    </w:p>
    <w:p w14:paraId="5DC62A42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164FFBD9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Anthem </w:t>
      </w:r>
    </w:p>
    <w:p w14:paraId="157D6D74" w14:textId="3F4F7AFD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Medicare Advantage, FEP, Cova Care, Healthkeepers, Healthkeepers Plus, Famis, CCC Plus, Mediblue, Key Advantage and Keycare </w:t>
      </w:r>
    </w:p>
    <w:p w14:paraId="07DCC8C5" w14:textId="099AD4A1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Anthem MediBlue Smartfit (HMO)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and Caremore</w:t>
      </w:r>
    </w:p>
    <w:p w14:paraId="3C0EE7F0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22E4A8C6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Cigna </w:t>
      </w:r>
    </w:p>
    <w:p w14:paraId="392B6B74" w14:textId="6F444A10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 xml:space="preserve">Includes: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Connect, Surefit, International, Medicare Access, GWH, APWU, NALC, Samba, HealthPartners and Tufts </w:t>
      </w:r>
    </w:p>
    <w:p w14:paraId="51C60B78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35B2DBA0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First Health </w:t>
      </w:r>
    </w:p>
    <w:p w14:paraId="29A06B95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0A4C0089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Highmark </w:t>
      </w:r>
    </w:p>
    <w:p w14:paraId="20BD2D3C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147D29BF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Humana/Tricare </w:t>
      </w:r>
    </w:p>
    <w:p w14:paraId="20B73AC9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Humana Medicare, Tricare Prime, Tricare for Life, Tricare Standard </w:t>
      </w:r>
    </w:p>
    <w:p w14:paraId="305705EA" w14:textId="2931B880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Humana Commonwealth Coordinated Care</w:t>
      </w:r>
    </w:p>
    <w:p w14:paraId="158AB422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</w:rPr>
      </w:pPr>
    </w:p>
    <w:p w14:paraId="052D32D4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Mailhandlers </w:t>
      </w:r>
    </w:p>
    <w:p w14:paraId="3203A484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50CB29F4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Medicaid </w:t>
      </w:r>
    </w:p>
    <w:p w14:paraId="1D1552DB" w14:textId="43149F74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Aetna Better Health, Aetna CCC Plus, Healthkeepers Plus, Famis, and CCC Plus, Virginia Premier and Virginia Premier Elite CCC Plus </w:t>
      </w:r>
    </w:p>
    <w:p w14:paraId="56184D89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7D636086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Medicare/Medicare Advantage </w:t>
      </w:r>
    </w:p>
    <w:p w14:paraId="687AFA20" w14:textId="11C38650" w:rsidR="00D31609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AARP Medicare Complete Plus, Aetna Medicare Advantage, Anthem Medicare, Cigna Medicare Access, DMERC Region C,</w:t>
      </w:r>
      <w:r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Humana Medicare Advantage, Medicare Railroad, Innovage, UMWA, United Healthcare Medicare Advantage and Community Dual Plan, Virginia Premier Elite and Virginia Premier Medicare Advantage. </w:t>
      </w:r>
    </w:p>
    <w:p w14:paraId="1504625D" w14:textId="14A6A300" w:rsidR="00541BEC" w:rsidRPr="00541BEC" w:rsidRDefault="00541BEC" w:rsidP="00DB0B6D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sz w:val="22"/>
          <w:szCs w:val="22"/>
          <w:lang w:bidi="ar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bidi="ar"/>
        </w:rPr>
        <w:t>**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Caremore and Clearspring</w:t>
      </w:r>
    </w:p>
    <w:p w14:paraId="50DA8ACB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6B0B8089" w14:textId="5F71B268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Misc./Government Plans </w:t>
      </w:r>
    </w:p>
    <w:p w14:paraId="334EEC1A" w14:textId="77777777" w:rsidR="00D31609" w:rsidRPr="00DB0B6D" w:rsidRDefault="00DB0B6D" w:rsidP="00DB0B6D">
      <w:pP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: Champ VA, Dept of Veterans Affairs, Veterans Choice, Kaiser (PPO Only) NCAS/Carefirst BCBS </w:t>
      </w:r>
      <w:r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</w:t>
      </w:r>
    </w:p>
    <w:p w14:paraId="75C45D4F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093CA4ED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United Healthcare </w:t>
      </w:r>
    </w:p>
    <w:p w14:paraId="768FCA12" w14:textId="2A980BBF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>Includes: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AARP, AARP Medicare Complete Plus, Allsavers, GEHA, MDIPA, UMR, United Healthcare CCC Plus, United Health One, United Healthcare Integrated and United Healthcare</w:t>
      </w:r>
      <w:r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Medicare Advantage </w:t>
      </w:r>
    </w:p>
    <w:p w14:paraId="05481AAA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3A33A4A1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 xml:space="preserve">Virginia Health Network </w:t>
      </w:r>
    </w:p>
    <w:p w14:paraId="6A3F8928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227DA71D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>Virginia Premier</w:t>
      </w:r>
    </w:p>
    <w:p w14:paraId="4980C65F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u w:val="single"/>
          <w:lang w:bidi="ar"/>
        </w:rPr>
        <w:t xml:space="preserve">Includes: </w:t>
      </w: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Virginia Premier Elite, Virginia Premier Elite Plus and Virginia Premier Medicare Advantage </w:t>
      </w:r>
    </w:p>
    <w:p w14:paraId="6C47053F" w14:textId="2D2488DA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 Virginia Premier Gold, Silver, Bronze </w:t>
      </w:r>
    </w:p>
    <w:p w14:paraId="7BA140D0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7440605F" w14:textId="77777777" w:rsidR="00D31609" w:rsidRPr="00DB0B6D" w:rsidRDefault="00DB0B6D" w:rsidP="00DB0B6D">
      <w:pPr>
        <w:rPr>
          <w:rFonts w:ascii="Times New Roman" w:hAnsi="Times New Roman" w:cs="Times New Roman"/>
          <w:sz w:val="28"/>
          <w:szCs w:val="28"/>
          <w:lang w:bidi="ar"/>
        </w:rPr>
      </w:pPr>
      <w:r w:rsidRPr="00DB0B6D">
        <w:rPr>
          <w:rFonts w:ascii="Times New Roman" w:hAnsi="Times New Roman" w:cs="Times New Roman"/>
          <w:sz w:val="28"/>
          <w:szCs w:val="28"/>
          <w:lang w:bidi="ar"/>
        </w:rPr>
        <w:t>Wellnet</w:t>
      </w:r>
    </w:p>
    <w:p w14:paraId="64BE239B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6D68DE54" w14:textId="77777777" w:rsidR="00D31609" w:rsidRPr="00DB0B6D" w:rsidRDefault="00DB0B6D" w:rsidP="00DB0B6D">
      <w:pPr>
        <w:rPr>
          <w:rFonts w:ascii="Times New Roman" w:hAnsi="Times New Roman" w:cs="Times New Roman"/>
          <w:sz w:val="32"/>
          <w:szCs w:val="32"/>
          <w:lang w:bidi="ar"/>
        </w:rPr>
      </w:pPr>
      <w:r w:rsidRPr="00DB0B6D">
        <w:rPr>
          <w:rFonts w:ascii="Times New Roman" w:hAnsi="Times New Roman" w:cs="Times New Roman"/>
          <w:sz w:val="32"/>
          <w:szCs w:val="32"/>
          <w:u w:val="single"/>
          <w:lang w:bidi="ar"/>
        </w:rPr>
        <w:t>Vision Plans</w:t>
      </w:r>
      <w:r w:rsidRPr="00DB0B6D"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</w:p>
    <w:p w14:paraId="6B26215E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• Blue View </w:t>
      </w:r>
    </w:p>
    <w:p w14:paraId="30DAFFDF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• Davis </w:t>
      </w:r>
    </w:p>
    <w:p w14:paraId="5C96D711" w14:textId="5BBE7924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• EyeMed </w:t>
      </w:r>
    </w:p>
    <w:p w14:paraId="21C584D7" w14:textId="4ABD4DBC" w:rsidR="00D31609" w:rsidRPr="00DB0B6D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Aetna Better Health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and Insight</w:t>
      </w:r>
    </w:p>
    <w:p w14:paraId="3185E188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• Spectera </w:t>
      </w:r>
    </w:p>
    <w:p w14:paraId="7829E56F" w14:textId="77777777" w:rsidR="00D31609" w:rsidRPr="00DB0B6D" w:rsidRDefault="00DB0B6D" w:rsidP="00DB0B6D">
      <w:pPr>
        <w:rPr>
          <w:rFonts w:ascii="Times New Roman" w:hAnsi="Times New Roman" w:cs="Times New Roman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sz w:val="22"/>
          <w:szCs w:val="22"/>
          <w:lang w:bidi="ar"/>
        </w:rPr>
        <w:t xml:space="preserve">• VSP </w:t>
      </w:r>
    </w:p>
    <w:p w14:paraId="7A53DB04" w14:textId="11C4789C" w:rsidR="00D31609" w:rsidRDefault="00541BEC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>**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u w:val="single"/>
          <w:lang w:bidi="ar"/>
        </w:rPr>
        <w:t>Excludes:</w:t>
      </w:r>
      <w:r w:rsidR="00DB0B6D" w:rsidRPr="00DB0B6D">
        <w:rPr>
          <w:rFonts w:ascii="Times New Roman" w:hAnsi="Times New Roman" w:cs="Times New Roman"/>
          <w:sz w:val="22"/>
          <w:szCs w:val="22"/>
          <w:lang w:bidi="ar"/>
        </w:rPr>
        <w:t xml:space="preserve"> </w:t>
      </w:r>
      <w:r w:rsidR="00DB0B6D" w:rsidRPr="00DB0B6D"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  <w:t xml:space="preserve">Aetna Better Health </w:t>
      </w:r>
    </w:p>
    <w:p w14:paraId="53D85C54" w14:textId="2E5AF0BD" w:rsidR="00DB0B6D" w:rsidRDefault="00DB0B6D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</w:p>
    <w:p w14:paraId="71D23D8D" w14:textId="29904196" w:rsidR="00DB0B6D" w:rsidRDefault="00DB0B6D" w:rsidP="00DB0B6D">
      <w:pPr>
        <w:ind w:firstLine="420"/>
        <w:rPr>
          <w:rFonts w:ascii="Times New Roman" w:hAnsi="Times New Roman" w:cs="Times New Roman"/>
          <w:i/>
          <w:iCs/>
          <w:color w:val="FF0000"/>
          <w:sz w:val="22"/>
          <w:szCs w:val="22"/>
          <w:lang w:bidi="ar"/>
        </w:rPr>
      </w:pPr>
    </w:p>
    <w:p w14:paraId="1E30D89B" w14:textId="77777777" w:rsidR="00DB0B6D" w:rsidRPr="00DB0B6D" w:rsidRDefault="00DB0B6D" w:rsidP="00DB0B6D">
      <w:pPr>
        <w:ind w:firstLine="420"/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7E0626DB" w14:textId="77777777" w:rsidR="00D31609" w:rsidRPr="00DB0B6D" w:rsidRDefault="00D31609" w:rsidP="00DB0B6D">
      <w:pPr>
        <w:rPr>
          <w:rFonts w:ascii="Times New Roman" w:hAnsi="Times New Roman" w:cs="Times New Roman"/>
          <w:sz w:val="22"/>
          <w:szCs w:val="22"/>
          <w:lang w:bidi="ar"/>
        </w:rPr>
      </w:pPr>
    </w:p>
    <w:p w14:paraId="4D0D89E2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32"/>
          <w:szCs w:val="32"/>
          <w:u w:val="single"/>
          <w:lang w:bidi="ar"/>
        </w:rPr>
      </w:pPr>
      <w:r w:rsidRPr="00DB0B6D">
        <w:rPr>
          <w:rFonts w:ascii="Times New Roman" w:hAnsi="Times New Roman" w:cs="Times New Roman"/>
          <w:color w:val="FF0000"/>
          <w:sz w:val="32"/>
          <w:szCs w:val="32"/>
          <w:u w:val="single"/>
          <w:lang w:bidi="ar"/>
        </w:rPr>
        <w:t xml:space="preserve">Non-par Plans </w:t>
      </w:r>
    </w:p>
    <w:p w14:paraId="1B6F735A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Anthem Mediblue Smartfit </w:t>
      </w:r>
    </w:p>
    <w:p w14:paraId="1DA90BC7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Beechstreet </w:t>
      </w:r>
    </w:p>
    <w:p w14:paraId="7935A117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Caremore </w:t>
      </w:r>
    </w:p>
    <w:p w14:paraId="1971DA5B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Christian Healthcare Ministries </w:t>
      </w:r>
    </w:p>
    <w:p w14:paraId="432EBF17" w14:textId="4FFB8162" w:rsidR="003C4BD1" w:rsidRDefault="00DB0B6D" w:rsidP="003C4BD1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Christian Care Medical Sharing </w:t>
      </w:r>
    </w:p>
    <w:p w14:paraId="0D002819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Freedom Life </w:t>
      </w:r>
    </w:p>
    <w:p w14:paraId="5A0EF802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>• Gateway</w:t>
      </w:r>
    </w:p>
    <w:p w14:paraId="0B4D5606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GHI – Emblem Health </w:t>
      </w:r>
    </w:p>
    <w:p w14:paraId="30E9C9DF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Health Alliance </w:t>
      </w:r>
    </w:p>
    <w:p w14:paraId="13F23181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Kaiser </w:t>
      </w:r>
    </w:p>
    <w:p w14:paraId="4D61CBE6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Magellan </w:t>
      </w:r>
    </w:p>
    <w:p w14:paraId="4F76810A" w14:textId="2D712353" w:rsidR="003C4BD1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</w:t>
      </w:r>
      <w:r w:rsidR="003C4BD1">
        <w:rPr>
          <w:rFonts w:ascii="Times New Roman" w:hAnsi="Times New Roman" w:cs="Times New Roman"/>
          <w:color w:val="FF0000"/>
          <w:sz w:val="22"/>
          <w:szCs w:val="22"/>
          <w:lang w:bidi="ar"/>
        </w:rPr>
        <w:t>Medi-Share</w:t>
      </w:r>
    </w:p>
    <w:p w14:paraId="3BD80C93" w14:textId="4734CBAD" w:rsidR="00D31609" w:rsidRPr="003C4BD1" w:rsidRDefault="00DB0B6D" w:rsidP="003C4B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3C4BD1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Multiplan </w:t>
      </w:r>
    </w:p>
    <w:p w14:paraId="6A672AF5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PHCS </w:t>
      </w:r>
    </w:p>
    <w:p w14:paraId="12E7E4C1" w14:textId="77777777" w:rsidR="00D31609" w:rsidRP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>• Unity Healthshare</w:t>
      </w:r>
    </w:p>
    <w:p w14:paraId="653F7B3B" w14:textId="7DC88683" w:rsidR="00D31609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• Sentara/ Optima Health Plan </w:t>
      </w:r>
      <w:r>
        <w:rPr>
          <w:rFonts w:ascii="Times New Roman" w:hAnsi="Times New Roman" w:cs="Times New Roman"/>
          <w:color w:val="FF0000"/>
          <w:sz w:val="22"/>
          <w:szCs w:val="22"/>
          <w:lang w:bidi="ar"/>
        </w:rPr>
        <w:t>–</w:t>
      </w: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 Commercial</w:t>
      </w:r>
      <w:r>
        <w:rPr>
          <w:rFonts w:ascii="Times New Roman" w:hAnsi="Times New Roman" w:cs="Times New Roman"/>
          <w:color w:val="FF0000"/>
          <w:sz w:val="22"/>
          <w:szCs w:val="22"/>
          <w:lang w:bidi="ar"/>
        </w:rPr>
        <w:t>, Medicare</w:t>
      </w:r>
      <w:r w:rsidRPr="00DB0B6D">
        <w:rPr>
          <w:rFonts w:ascii="Times New Roman" w:hAnsi="Times New Roman" w:cs="Times New Roman"/>
          <w:color w:val="FF0000"/>
          <w:sz w:val="22"/>
          <w:szCs w:val="22"/>
          <w:lang w:bidi="ar"/>
        </w:rPr>
        <w:t xml:space="preserve"> and Medicaid products </w:t>
      </w:r>
    </w:p>
    <w:p w14:paraId="003F099A" w14:textId="0D600E5F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3914198C" w14:textId="5324D932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47AD2E34" w14:textId="59D24EF7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742C3DE8" w14:textId="604FE7DD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747EE96A" w14:textId="43CD896F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3F1E3FF7" w14:textId="0688BC01" w:rsidR="00DB0B6D" w:rsidRDefault="00DB0B6D" w:rsidP="00DB0B6D">
      <w:pPr>
        <w:rPr>
          <w:rFonts w:ascii="Times New Roman" w:hAnsi="Times New Roman" w:cs="Times New Roman"/>
          <w:color w:val="FF0000"/>
          <w:sz w:val="22"/>
          <w:szCs w:val="22"/>
          <w:lang w:bidi="ar"/>
        </w:rPr>
      </w:pPr>
    </w:p>
    <w:p w14:paraId="46A11A9A" w14:textId="7D96A2D1" w:rsidR="00DB0B6D" w:rsidRPr="00DB0B6D" w:rsidRDefault="003C4BD1" w:rsidP="00DB0B6D">
      <w:pPr>
        <w:rPr>
          <w:rFonts w:ascii="Times New Roman" w:hAnsi="Times New Roman" w:cs="Times New Roman"/>
          <w:color w:val="FF0000"/>
          <w:sz w:val="16"/>
          <w:szCs w:val="16"/>
          <w:lang w:bidi="ar"/>
        </w:rPr>
      </w:pPr>
      <w:r>
        <w:rPr>
          <w:rFonts w:ascii="Times New Roman" w:hAnsi="Times New Roman" w:cs="Times New Roman"/>
          <w:color w:val="FF0000"/>
          <w:sz w:val="16"/>
          <w:szCs w:val="16"/>
          <w:lang w:bidi="ar"/>
        </w:rPr>
        <w:lastRenderedPageBreak/>
        <w:t>03/08/2021</w:t>
      </w:r>
    </w:p>
    <w:sectPr w:rsidR="00DB0B6D" w:rsidRPr="00DB0B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3D8"/>
    <w:multiLevelType w:val="hybridMultilevel"/>
    <w:tmpl w:val="3F064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44C92"/>
    <w:multiLevelType w:val="hybridMultilevel"/>
    <w:tmpl w:val="78E21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30E30"/>
    <w:multiLevelType w:val="hybridMultilevel"/>
    <w:tmpl w:val="D958B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DAA9136"/>
    <w:rsid w:val="7FFF99B9"/>
    <w:rsid w:val="D5B5CCF7"/>
    <w:rsid w:val="DDAA9136"/>
    <w:rsid w:val="00151C6A"/>
    <w:rsid w:val="003C4BD1"/>
    <w:rsid w:val="00541BEC"/>
    <w:rsid w:val="009B5122"/>
    <w:rsid w:val="00D31609"/>
    <w:rsid w:val="00D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3FA48"/>
  <w15:docId w15:val="{097AD864-BA38-4047-8685-0EB9CFD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Sean Flanagan</cp:lastModifiedBy>
  <cp:revision>2</cp:revision>
  <dcterms:created xsi:type="dcterms:W3CDTF">2021-03-09T14:45:00Z</dcterms:created>
  <dcterms:modified xsi:type="dcterms:W3CDTF">2021-03-09T14:45:00Z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1033-2.3.0.3826</vt:lpwstr>
  </property>
</Properties>
</file>